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ФНС России представила новые Рекомендации по проведению камеральных налоговых проверок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Сообщается, что в этой связи письмо ФНС России от 16.07.2013 N АС-4-2/12705 "О рекомендациях по проведению камеральных налоговых проверок" считается утратившим силу.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Рекомендации содержат следующие положения:</w:t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контроль за своевременным представлением налоговых деклараций (расчетов), расчетов по страховым взносам, бухгалтерской (финансовой) отчетности и отчетности иностранных организаций;</w:t>
      </w:r>
    </w:p>
    <w:p w14:paraId="0D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камеральная налоговая проверка и порядок ее проведения;</w:t>
      </w:r>
    </w:p>
    <w:p w14:paraId="0E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камеральная проверка уточненной налоговой декларации;</w:t>
      </w:r>
    </w:p>
    <w:p w14:paraId="0F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оформление результатов камеральной налоговой проверки;</w:t>
      </w:r>
    </w:p>
    <w:p w14:paraId="10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вынесение решения по результатам камеральной проверки, в ходе которой были выявлены нарушения законодательства о налогах и сборах.</w:t>
      </w:r>
    </w:p>
    <w:p w14:paraId="11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br/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alloon Text"/>
    <w:basedOn w:val="Style_4"/>
    <w:link w:val="Style_2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4_ch"/>
    <w:link w:val="Style_25"/>
    <w:rPr>
      <w:rFonts w:ascii="Tahoma" w:hAnsi="Tahoma"/>
      <w:sz w:val="16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2026-06-16T14:49:27Z</dcterms:modified>
</cp:coreProperties>
</file>